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A5" w:rsidRPr="00CF2E6E" w:rsidRDefault="00CD02A5" w:rsidP="00D21169">
      <w:pPr>
        <w:spacing w:after="120" w:line="240" w:lineRule="auto"/>
        <w:rPr>
          <w:rFonts w:ascii="Arial" w:hAnsi="Arial" w:cs="Arial"/>
          <w:b/>
          <w:sz w:val="20"/>
        </w:rPr>
      </w:pPr>
      <w:r w:rsidRPr="00CF2E6E">
        <w:rPr>
          <w:rFonts w:ascii="Arial" w:hAnsi="Arial" w:cs="Arial"/>
          <w:b/>
          <w:sz w:val="20"/>
        </w:rPr>
        <w:t>Specific Aims</w:t>
      </w:r>
    </w:p>
    <w:p w:rsidR="009A08AE" w:rsidRDefault="00CD02A5" w:rsidP="00D21169">
      <w:pPr>
        <w:spacing w:after="120"/>
        <w:rPr>
          <w:rFonts w:ascii="Arial" w:hAnsi="Arial" w:cs="Arial"/>
          <w:sz w:val="20"/>
        </w:rPr>
      </w:pPr>
      <w:r w:rsidRPr="00CF2E6E">
        <w:rPr>
          <w:rFonts w:ascii="Arial" w:hAnsi="Arial" w:cs="Arial"/>
          <w:sz w:val="20"/>
        </w:rPr>
        <w:t>The immune system is a necessary and complex aspect of the human body, but when it fails to function properly the results affect the patient’s quality of life. Allergic rhinitis is a common affliction in the United States. Symptoms include sinus swelling, pressure, and sneezing.</w:t>
      </w:r>
      <w:r w:rsidRPr="00CF2E6E">
        <w:rPr>
          <w:rFonts w:ascii="Arial" w:hAnsi="Arial" w:cs="Arial"/>
          <w:sz w:val="20"/>
          <w:vertAlign w:val="superscript"/>
        </w:rPr>
        <w:t xml:space="preserve"> </w:t>
      </w:r>
      <w:r w:rsidRPr="00CF2E6E">
        <w:rPr>
          <w:rFonts w:ascii="Arial" w:hAnsi="Arial" w:cs="Arial"/>
          <w:sz w:val="20"/>
        </w:rPr>
        <w:t>Allergic rhinitis is an antibody (</w:t>
      </w:r>
      <w:proofErr w:type="spellStart"/>
      <w:r w:rsidRPr="00CF2E6E">
        <w:rPr>
          <w:rFonts w:ascii="Arial" w:hAnsi="Arial" w:cs="Arial"/>
          <w:sz w:val="20"/>
        </w:rPr>
        <w:t>IgE</w:t>
      </w:r>
      <w:proofErr w:type="spellEnd"/>
      <w:r w:rsidRPr="00CF2E6E">
        <w:rPr>
          <w:rFonts w:ascii="Arial" w:hAnsi="Arial" w:cs="Arial"/>
          <w:sz w:val="20"/>
        </w:rPr>
        <w:t>) mediated hypersensitivity reaction of the nasal mucosa. The antibody interacts an allergen to recruit</w:t>
      </w:r>
      <w:r w:rsidR="006570F7">
        <w:rPr>
          <w:rFonts w:ascii="Arial" w:hAnsi="Arial" w:cs="Arial"/>
          <w:sz w:val="20"/>
        </w:rPr>
        <w:t xml:space="preserve"> phagocytic and cytotoxic cells [1].</w:t>
      </w:r>
      <w:r w:rsidRPr="00CF2E6E">
        <w:rPr>
          <w:rFonts w:ascii="Arial" w:hAnsi="Arial" w:cs="Arial"/>
          <w:sz w:val="20"/>
        </w:rPr>
        <w:t xml:space="preserve"> These cells release cytokines, such as transforming growth factor beta isoform 1 (TGFB1).</w:t>
      </w:r>
      <w:r>
        <w:rPr>
          <w:rFonts w:ascii="Arial" w:hAnsi="Arial" w:cs="Arial"/>
          <w:sz w:val="20"/>
        </w:rPr>
        <w:t xml:space="preserve"> In allergic rhinitis patients, TGFB1 is overexpressed</w:t>
      </w:r>
      <w:r w:rsidR="006570F7">
        <w:rPr>
          <w:rFonts w:ascii="Arial" w:hAnsi="Arial" w:cs="Arial"/>
          <w:sz w:val="20"/>
        </w:rPr>
        <w:t xml:space="preserve"> [2].</w:t>
      </w:r>
      <w:r>
        <w:rPr>
          <w:rFonts w:ascii="Arial" w:hAnsi="Arial" w:cs="Arial"/>
          <w:sz w:val="20"/>
        </w:rPr>
        <w:t xml:space="preserve"> TGFB1 functions in the immune system as a cytokine which stimulates Th17 cells.</w:t>
      </w:r>
      <w:r w:rsidR="006570F7">
        <w:rPr>
          <w:rFonts w:ascii="Arial" w:hAnsi="Arial" w:cs="Arial"/>
          <w:sz w:val="20"/>
        </w:rPr>
        <w:t xml:space="preserve"> [2]</w:t>
      </w:r>
      <w:r>
        <w:rPr>
          <w:rFonts w:ascii="Arial" w:hAnsi="Arial" w:cs="Arial"/>
          <w:sz w:val="20"/>
        </w:rPr>
        <w:t xml:space="preserve"> When stimulated, these Th17 cells secrete another cytokine, IL-17, which stimulates neutrophil recruitment and ultimately inflammation. </w:t>
      </w:r>
      <w:r w:rsidR="006570F7">
        <w:rPr>
          <w:rFonts w:ascii="Arial" w:hAnsi="Arial" w:cs="Arial"/>
          <w:sz w:val="20"/>
        </w:rPr>
        <w:t xml:space="preserve">[3] </w:t>
      </w:r>
      <w:r>
        <w:rPr>
          <w:rFonts w:ascii="Arial" w:hAnsi="Arial" w:cs="Arial"/>
          <w:sz w:val="20"/>
        </w:rPr>
        <w:t>Losartan, a drug already approved by the FDA for high blood pressure treatment, acts as an angiotensin II receptor antagonist</w:t>
      </w:r>
      <w:r w:rsidR="006570F7">
        <w:rPr>
          <w:rFonts w:ascii="Arial" w:hAnsi="Arial" w:cs="Arial"/>
          <w:sz w:val="20"/>
        </w:rPr>
        <w:t xml:space="preserve"> [4].</w:t>
      </w:r>
      <w:r>
        <w:rPr>
          <w:rFonts w:ascii="Arial" w:hAnsi="Arial" w:cs="Arial"/>
          <w:sz w:val="20"/>
        </w:rPr>
        <w:t xml:space="preserve"> That results in a decreased amount of secreted TGFB1. In addition, neutropenia </w:t>
      </w:r>
      <w:r w:rsidR="00DB2729">
        <w:rPr>
          <w:rFonts w:ascii="Arial" w:hAnsi="Arial" w:cs="Arial"/>
          <w:sz w:val="20"/>
        </w:rPr>
        <w:t>can be</w:t>
      </w:r>
      <w:r>
        <w:rPr>
          <w:rFonts w:ascii="Arial" w:hAnsi="Arial" w:cs="Arial"/>
          <w:sz w:val="20"/>
        </w:rPr>
        <w:t xml:space="preserve"> a side effect of losart</w:t>
      </w:r>
      <w:r w:rsidR="006570F7">
        <w:rPr>
          <w:rFonts w:ascii="Arial" w:hAnsi="Arial" w:cs="Arial"/>
          <w:sz w:val="20"/>
        </w:rPr>
        <w:t>an [5].</w:t>
      </w:r>
      <w:r>
        <w:rPr>
          <w:rFonts w:ascii="Arial" w:hAnsi="Arial" w:cs="Arial"/>
          <w:sz w:val="20"/>
        </w:rPr>
        <w:t xml:space="preserve"> Losartan has the ability to target both TGFB1 secretion, as well as the resulting excessive neutrophil recruitment</w:t>
      </w:r>
      <w:r w:rsidR="006570F7">
        <w:rPr>
          <w:rFonts w:ascii="Arial" w:hAnsi="Arial" w:cs="Arial"/>
          <w:sz w:val="20"/>
        </w:rPr>
        <w:t xml:space="preserve"> [4]</w:t>
      </w:r>
      <w:r>
        <w:rPr>
          <w:rFonts w:ascii="Arial" w:hAnsi="Arial" w:cs="Arial"/>
          <w:sz w:val="20"/>
        </w:rPr>
        <w:t xml:space="preserve">. However, the drug has yet to be tested for its ability to treat the inflammation induced by TGFB1 that is associated with allergic rhinitis. </w:t>
      </w:r>
      <w:r w:rsidR="003B6C37">
        <w:rPr>
          <w:rFonts w:ascii="Arial" w:hAnsi="Arial" w:cs="Arial"/>
          <w:sz w:val="20"/>
        </w:rPr>
        <w:t>This missing drug study may hold the key to treatment of allergic rhinitis.</w:t>
      </w:r>
    </w:p>
    <w:p w:rsidR="00212F74" w:rsidRDefault="00212F74" w:rsidP="00D21169">
      <w:pPr>
        <w:spacing w:after="120"/>
        <w:rPr>
          <w:rFonts w:ascii="Arial" w:hAnsi="Arial" w:cs="Arial"/>
          <w:sz w:val="20"/>
        </w:rPr>
      </w:pPr>
      <w:r w:rsidRPr="00212F74">
        <w:rPr>
          <w:rFonts w:ascii="Arial" w:hAnsi="Arial" w:cs="Arial"/>
          <w:b/>
          <w:sz w:val="20"/>
        </w:rPr>
        <w:t>This experiment will test the hypothesis that losartan has the ability to decrease the inflammatory response found in allergic rhinitis.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This is based on the fact that allergic rhinitis is an inflammatory disease, and</w:t>
      </w:r>
      <w:r w:rsidR="00DB2729">
        <w:rPr>
          <w:rFonts w:ascii="Arial" w:hAnsi="Arial" w:cs="Arial"/>
          <w:sz w:val="20"/>
        </w:rPr>
        <w:t xml:space="preserve"> losartan targets</w:t>
      </w:r>
      <w:r>
        <w:rPr>
          <w:rFonts w:ascii="Arial" w:hAnsi="Arial" w:cs="Arial"/>
          <w:sz w:val="20"/>
        </w:rPr>
        <w:t xml:space="preserve"> </w:t>
      </w:r>
      <w:r w:rsidR="00DB2729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levels</w:t>
      </w:r>
      <w:r w:rsidR="00DB2729">
        <w:rPr>
          <w:rFonts w:ascii="Arial" w:hAnsi="Arial" w:cs="Arial"/>
          <w:sz w:val="20"/>
        </w:rPr>
        <w:t xml:space="preserve"> and the inflammatory effects</w:t>
      </w:r>
      <w:r>
        <w:rPr>
          <w:rFonts w:ascii="Arial" w:hAnsi="Arial" w:cs="Arial"/>
          <w:sz w:val="20"/>
        </w:rPr>
        <w:t xml:space="preserve"> of TG</w:t>
      </w:r>
      <w:r w:rsidR="00DB2729">
        <w:rPr>
          <w:rFonts w:ascii="Arial" w:hAnsi="Arial" w:cs="Arial"/>
          <w:sz w:val="20"/>
        </w:rPr>
        <w:t>FB1</w:t>
      </w:r>
      <w:r>
        <w:rPr>
          <w:rFonts w:ascii="Arial" w:hAnsi="Arial" w:cs="Arial"/>
          <w:sz w:val="20"/>
        </w:rPr>
        <w:t xml:space="preserve">. The </w:t>
      </w:r>
      <w:r>
        <w:rPr>
          <w:rFonts w:ascii="Arial" w:hAnsi="Arial" w:cs="Arial"/>
          <w:b/>
          <w:sz w:val="20"/>
        </w:rPr>
        <w:t>objective</w:t>
      </w:r>
      <w:r>
        <w:rPr>
          <w:rFonts w:ascii="Arial" w:hAnsi="Arial" w:cs="Arial"/>
          <w:sz w:val="20"/>
        </w:rPr>
        <w:t xml:space="preserve"> of this study is to determine losartan’s ability to improve the inflammation associated with TGFB1 and the allergic rhinitis phenotype. This knowledge will apply to the </w:t>
      </w:r>
      <w:r>
        <w:rPr>
          <w:rFonts w:ascii="Arial" w:hAnsi="Arial" w:cs="Arial"/>
          <w:b/>
          <w:sz w:val="20"/>
        </w:rPr>
        <w:t>long-term goal</w:t>
      </w:r>
      <w:r>
        <w:rPr>
          <w:rFonts w:ascii="Arial" w:hAnsi="Arial" w:cs="Arial"/>
          <w:sz w:val="20"/>
        </w:rPr>
        <w:t xml:space="preserve"> of the research, which is to therapeutically control the levels of TGFB1, eliminating the allergic rhinitis response.</w:t>
      </w:r>
    </w:p>
    <w:p w:rsidR="006923E6" w:rsidRDefault="006923E6" w:rsidP="00D21169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 Compare homologs to solidify which domains or amino acids are important to the immunologic function of the protein. </w:t>
      </w:r>
      <w:r>
        <w:rPr>
          <w:rFonts w:ascii="Arial" w:hAnsi="Arial" w:cs="Arial"/>
          <w:sz w:val="20"/>
        </w:rPr>
        <w:t>TGFB1</w:t>
      </w:r>
      <w:r w:rsidR="008C3F12">
        <w:rPr>
          <w:rFonts w:ascii="Arial" w:hAnsi="Arial" w:cs="Arial"/>
          <w:sz w:val="20"/>
        </w:rPr>
        <w:t xml:space="preserve"> is a widespread growth factor </w:t>
      </w:r>
      <w:r>
        <w:rPr>
          <w:rFonts w:ascii="Arial" w:hAnsi="Arial" w:cs="Arial"/>
          <w:sz w:val="20"/>
        </w:rPr>
        <w:t xml:space="preserve">involved in countless biological processes. Phylogeny and domain analysis will allow me to </w:t>
      </w:r>
      <w:r w:rsidR="008C3F12">
        <w:rPr>
          <w:rFonts w:ascii="Arial" w:hAnsi="Arial" w:cs="Arial"/>
          <w:sz w:val="20"/>
        </w:rPr>
        <w:t xml:space="preserve">deduce the domains and amino acids important for inflammation, by comparing </w:t>
      </w:r>
      <w:r w:rsidR="00D21169">
        <w:rPr>
          <w:rFonts w:ascii="Arial" w:hAnsi="Arial" w:cs="Arial"/>
          <w:sz w:val="20"/>
        </w:rPr>
        <w:t>species with diverse immune systems</w:t>
      </w:r>
      <w:r w:rsidR="008C3F1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These results will allow me to focus into certain areas of the protein </w:t>
      </w:r>
      <w:r w:rsidR="00D21169">
        <w:rPr>
          <w:rFonts w:ascii="Arial" w:hAnsi="Arial" w:cs="Arial"/>
          <w:sz w:val="20"/>
        </w:rPr>
        <w:t>which may be important during the drug study</w:t>
      </w:r>
      <w:r>
        <w:rPr>
          <w:rFonts w:ascii="Arial" w:hAnsi="Arial" w:cs="Arial"/>
          <w:sz w:val="20"/>
        </w:rPr>
        <w:t>.</w:t>
      </w:r>
    </w:p>
    <w:p w:rsidR="006923E6" w:rsidRDefault="006923E6" w:rsidP="00D21169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 Discover changes in gene regulation due to losartan and similar compounds. </w:t>
      </w:r>
      <w:r>
        <w:rPr>
          <w:rFonts w:ascii="Arial" w:hAnsi="Arial" w:cs="Arial"/>
          <w:sz w:val="20"/>
        </w:rPr>
        <w:t>Losartan’s ability to act as an angiotensin receptor antagonist is w</w:t>
      </w:r>
      <w:r w:rsidR="00B8080E">
        <w:rPr>
          <w:rFonts w:ascii="Arial" w:hAnsi="Arial" w:cs="Arial"/>
          <w:sz w:val="20"/>
        </w:rPr>
        <w:t xml:space="preserve">ell documented. I will run </w:t>
      </w:r>
      <w:r>
        <w:rPr>
          <w:rFonts w:ascii="Arial" w:hAnsi="Arial" w:cs="Arial"/>
          <w:sz w:val="20"/>
        </w:rPr>
        <w:t>a microarray with similarly structured compound</w:t>
      </w:r>
      <w:r w:rsidR="00B8080E">
        <w:rPr>
          <w:rFonts w:ascii="Arial" w:hAnsi="Arial" w:cs="Arial"/>
          <w:sz w:val="20"/>
        </w:rPr>
        <w:t>s from a diversity screen to ensure losartan is the idea drug choice.</w:t>
      </w:r>
      <w:r>
        <w:rPr>
          <w:rFonts w:ascii="Arial" w:hAnsi="Arial" w:cs="Arial"/>
          <w:sz w:val="20"/>
        </w:rPr>
        <w:t xml:space="preserve"> I will then isolate the compounds which showed ability to act as an angiotensin receptor antagonist</w:t>
      </w:r>
      <w:r w:rsidR="00B8080E">
        <w:rPr>
          <w:rFonts w:ascii="Arial" w:hAnsi="Arial" w:cs="Arial"/>
          <w:sz w:val="20"/>
        </w:rPr>
        <w:t>, and introduce them to transgenic inflammatory zebrafish via tank water</w:t>
      </w:r>
      <w:r>
        <w:rPr>
          <w:rFonts w:ascii="Arial" w:hAnsi="Arial" w:cs="Arial"/>
          <w:sz w:val="20"/>
        </w:rPr>
        <w:t xml:space="preserve">. </w:t>
      </w:r>
      <w:r w:rsidR="00B8080E">
        <w:rPr>
          <w:rFonts w:ascii="Arial" w:hAnsi="Arial" w:cs="Arial"/>
          <w:sz w:val="20"/>
        </w:rPr>
        <w:t>I will then use RNA sequencing to discover expression patterns of inflammatory cytokines</w:t>
      </w:r>
      <w:r w:rsidR="007B11FB">
        <w:rPr>
          <w:rFonts w:ascii="Arial" w:hAnsi="Arial" w:cs="Arial"/>
          <w:sz w:val="20"/>
        </w:rPr>
        <w:t xml:space="preserve"> before and after treatment</w:t>
      </w:r>
      <w:r w:rsidR="00B8080E">
        <w:rPr>
          <w:rFonts w:ascii="Arial" w:hAnsi="Arial" w:cs="Arial"/>
          <w:sz w:val="20"/>
        </w:rPr>
        <w:t>. This information will be vital in determining which compound wo</w:t>
      </w:r>
      <w:r w:rsidR="00122D5F">
        <w:rPr>
          <w:rFonts w:ascii="Arial" w:hAnsi="Arial" w:cs="Arial"/>
          <w:sz w:val="20"/>
        </w:rPr>
        <w:t>rks best to inhibit inflammation</w:t>
      </w:r>
      <w:r w:rsidR="008D2BA8">
        <w:rPr>
          <w:rFonts w:ascii="Arial" w:hAnsi="Arial" w:cs="Arial"/>
          <w:sz w:val="20"/>
        </w:rPr>
        <w:t xml:space="preserve"> and how it acts on several inflammatory cytokines</w:t>
      </w:r>
      <w:r w:rsidR="007010DB">
        <w:rPr>
          <w:rFonts w:ascii="Arial" w:hAnsi="Arial" w:cs="Arial"/>
          <w:sz w:val="20"/>
        </w:rPr>
        <w:t xml:space="preserve"> </w:t>
      </w:r>
      <w:r w:rsidR="009D5072">
        <w:rPr>
          <w:rFonts w:ascii="Arial" w:hAnsi="Arial" w:cs="Arial"/>
          <w:sz w:val="20"/>
        </w:rPr>
        <w:t>including</w:t>
      </w:r>
      <w:bookmarkStart w:id="0" w:name="_GoBack"/>
      <w:bookmarkEnd w:id="0"/>
      <w:r w:rsidR="007010DB">
        <w:rPr>
          <w:rFonts w:ascii="Arial" w:hAnsi="Arial" w:cs="Arial"/>
          <w:sz w:val="20"/>
        </w:rPr>
        <w:t xml:space="preserve"> TGFB1</w:t>
      </w:r>
      <w:r w:rsidR="008D2BA8">
        <w:rPr>
          <w:rFonts w:ascii="Arial" w:hAnsi="Arial" w:cs="Arial"/>
          <w:sz w:val="20"/>
        </w:rPr>
        <w:t>.</w:t>
      </w:r>
    </w:p>
    <w:p w:rsidR="008C3F12" w:rsidRPr="00CF2E6E" w:rsidRDefault="008C3F12" w:rsidP="008C3F12">
      <w:pPr>
        <w:rPr>
          <w:rFonts w:ascii="Arial" w:hAnsi="Arial" w:cs="Arial"/>
          <w:b/>
          <w:sz w:val="20"/>
        </w:rPr>
      </w:pPr>
      <w:r w:rsidRPr="00CF2E6E">
        <w:rPr>
          <w:rFonts w:ascii="Arial" w:hAnsi="Arial" w:cs="Arial"/>
          <w:b/>
          <w:sz w:val="20"/>
        </w:rPr>
        <w:t>References</w:t>
      </w:r>
    </w:p>
    <w:p w:rsidR="008C3F12" w:rsidRPr="00867DBF" w:rsidRDefault="008C3F12" w:rsidP="00D211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21169">
        <w:rPr>
          <w:rStyle w:val="Strong"/>
          <w:rFonts w:ascii="Arial" w:hAnsi="Arial" w:cs="Arial"/>
          <w:color w:val="000000"/>
          <w:sz w:val="18"/>
          <w:szCs w:val="20"/>
          <w:shd w:val="clear" w:color="auto" w:fill="FFFFFF"/>
        </w:rPr>
        <w:t>[</w:t>
      </w:r>
      <w:r w:rsidRPr="00867DBF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1] </w:t>
      </w:r>
      <w:proofErr w:type="spellStart"/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Pawankar</w:t>
      </w:r>
      <w:proofErr w:type="spellEnd"/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, R., Mori, S., </w:t>
      </w:r>
      <w:proofErr w:type="spellStart"/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Ozu</w:t>
      </w:r>
      <w:proofErr w:type="spellEnd"/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, C., &amp; Kimura, S. 2011. Overview on the </w:t>
      </w:r>
      <w:proofErr w:type="spellStart"/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pathomechanisms</w:t>
      </w:r>
      <w:proofErr w:type="spellEnd"/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 of allergic rhinitis. </w:t>
      </w:r>
      <w:r w:rsidRPr="00867DBF">
        <w:rPr>
          <w:rStyle w:val="Emphasis"/>
          <w:rFonts w:ascii="Arial" w:hAnsi="Arial" w:cs="Arial"/>
          <w:color w:val="303030"/>
          <w:sz w:val="18"/>
          <w:szCs w:val="18"/>
          <w:shd w:val="clear" w:color="auto" w:fill="FFFFFF"/>
        </w:rPr>
        <w:t>Asia Pacific Allergy</w:t>
      </w:r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, </w:t>
      </w:r>
      <w:r w:rsidRPr="00867DBF">
        <w:rPr>
          <w:rStyle w:val="Emphasis"/>
          <w:rFonts w:ascii="Arial" w:hAnsi="Arial" w:cs="Arial"/>
          <w:color w:val="303030"/>
          <w:sz w:val="18"/>
          <w:szCs w:val="18"/>
          <w:shd w:val="clear" w:color="auto" w:fill="FFFFFF"/>
        </w:rPr>
        <w:t>1</w:t>
      </w:r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(3), 157–167.</w:t>
      </w:r>
      <w:r w:rsidRPr="00867DBF">
        <w:rPr>
          <w:rStyle w:val="apple-converted-space"/>
          <w:rFonts w:ascii="Arial" w:hAnsi="Arial" w:cs="Arial"/>
          <w:color w:val="303030"/>
          <w:sz w:val="18"/>
          <w:szCs w:val="18"/>
          <w:shd w:val="clear" w:color="auto" w:fill="FFFFFF"/>
        </w:rPr>
        <w:t> </w:t>
      </w:r>
      <w:hyperlink r:id="rId6" w:tgtFrame="_blank" w:history="1">
        <w:r w:rsidRPr="00867DBF">
          <w:rPr>
            <w:rStyle w:val="Hyperlink"/>
            <w:rFonts w:ascii="Arial" w:hAnsi="Arial" w:cs="Arial"/>
            <w:bCs/>
            <w:color w:val="3333FF"/>
            <w:sz w:val="18"/>
            <w:szCs w:val="18"/>
            <w:shd w:val="clear" w:color="auto" w:fill="FFFFFF"/>
          </w:rPr>
          <w:t>http://doi.org/10.5415/apallergy.2011.1.3.157</w:t>
        </w:r>
      </w:hyperlink>
    </w:p>
    <w:p w:rsidR="008C3F12" w:rsidRPr="00867DBF" w:rsidRDefault="008C3F12" w:rsidP="00D21169">
      <w:pPr>
        <w:spacing w:after="0" w:line="240" w:lineRule="auto"/>
        <w:rPr>
          <w:rStyle w:val="Hyperlink"/>
          <w:rFonts w:ascii="Arial" w:hAnsi="Arial" w:cs="Arial"/>
          <w:b/>
          <w:bCs/>
          <w:color w:val="3333FF"/>
          <w:sz w:val="18"/>
          <w:szCs w:val="18"/>
          <w:shd w:val="clear" w:color="auto" w:fill="FFFFFF"/>
        </w:rPr>
      </w:pPr>
      <w:r w:rsidRPr="00867DBF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[2] </w:t>
      </w:r>
      <w:r w:rsidR="00D21169"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Wan, Y. Y., &amp; </w:t>
      </w:r>
      <w:proofErr w:type="spellStart"/>
      <w:r w:rsidR="00D21169"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Flavell</w:t>
      </w:r>
      <w:proofErr w:type="spellEnd"/>
      <w:r w:rsidR="00D21169"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, R. A. </w:t>
      </w:r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2007. “Yin-Yang” functions of TGF-β and </w:t>
      </w:r>
      <w:proofErr w:type="spellStart"/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Tregs</w:t>
      </w:r>
      <w:proofErr w:type="spellEnd"/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 in immune regulation. </w:t>
      </w:r>
      <w:r w:rsidRPr="00867DBF">
        <w:rPr>
          <w:rStyle w:val="Emphasis"/>
          <w:rFonts w:ascii="Arial" w:hAnsi="Arial" w:cs="Arial"/>
          <w:color w:val="303030"/>
          <w:sz w:val="18"/>
          <w:szCs w:val="18"/>
          <w:shd w:val="clear" w:color="auto" w:fill="FFFFFF"/>
        </w:rPr>
        <w:t>Immunological Reviews</w:t>
      </w:r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, </w:t>
      </w:r>
      <w:r w:rsidRPr="00867DBF">
        <w:rPr>
          <w:rStyle w:val="Emphasis"/>
          <w:rFonts w:ascii="Arial" w:hAnsi="Arial" w:cs="Arial"/>
          <w:color w:val="303030"/>
          <w:sz w:val="18"/>
          <w:szCs w:val="18"/>
          <w:shd w:val="clear" w:color="auto" w:fill="FFFFFF"/>
        </w:rPr>
        <w:t>220</w:t>
      </w:r>
      <w:r w:rsidRPr="00867DBF">
        <w:rPr>
          <w:rFonts w:ascii="Arial" w:hAnsi="Arial" w:cs="Arial"/>
          <w:color w:val="303030"/>
          <w:sz w:val="18"/>
          <w:szCs w:val="18"/>
          <w:shd w:val="clear" w:color="auto" w:fill="FFFFFF"/>
        </w:rPr>
        <w:t>, 199–213.</w:t>
      </w:r>
      <w:r w:rsidRPr="00867DBF">
        <w:rPr>
          <w:rStyle w:val="apple-converted-space"/>
          <w:rFonts w:ascii="Arial" w:hAnsi="Arial" w:cs="Arial"/>
          <w:color w:val="303030"/>
          <w:sz w:val="18"/>
          <w:szCs w:val="18"/>
          <w:shd w:val="clear" w:color="auto" w:fill="FFFFFF"/>
        </w:rPr>
        <w:t> </w:t>
      </w:r>
      <w:hyperlink r:id="rId7" w:tgtFrame="_blank" w:history="1">
        <w:r w:rsidRPr="00867DBF">
          <w:rPr>
            <w:rStyle w:val="Hyperlink"/>
            <w:rFonts w:ascii="Arial" w:hAnsi="Arial" w:cs="Arial"/>
            <w:bCs/>
            <w:color w:val="3333FF"/>
            <w:sz w:val="18"/>
            <w:szCs w:val="18"/>
            <w:shd w:val="clear" w:color="auto" w:fill="FFFFFF"/>
          </w:rPr>
          <w:t>http://doi.org/10.1111/j.1600-065X.2007.00565.x</w:t>
        </w:r>
      </w:hyperlink>
    </w:p>
    <w:p w:rsidR="00D21169" w:rsidRPr="00867DBF" w:rsidRDefault="00D21169" w:rsidP="00D21169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</w:pPr>
      <w:r w:rsidRPr="00867DB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 xml:space="preserve">[3] </w:t>
      </w:r>
      <w:proofErr w:type="spellStart"/>
      <w:r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>Debock</w:t>
      </w:r>
      <w:proofErr w:type="spellEnd"/>
      <w:r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 xml:space="preserve"> I., </w:t>
      </w:r>
      <w:proofErr w:type="spellStart"/>
      <w:r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>Flamand</w:t>
      </w:r>
      <w:proofErr w:type="spellEnd"/>
      <w:r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 xml:space="preserve"> V. 2014. Unbalanced Neonatal CD4+ T-cell Immunity. </w:t>
      </w:r>
      <w:r w:rsidRPr="00867DBF">
        <w:rPr>
          <w:rStyle w:val="Hyperlink"/>
          <w:rFonts w:ascii="Arial" w:hAnsi="Arial" w:cs="Arial"/>
          <w:bCs/>
          <w:i/>
          <w:color w:val="auto"/>
          <w:sz w:val="18"/>
          <w:szCs w:val="18"/>
          <w:u w:val="none"/>
          <w:shd w:val="clear" w:color="auto" w:fill="FFFFFF"/>
        </w:rPr>
        <w:t xml:space="preserve">Frontiers in Immunology, 393. </w:t>
      </w:r>
      <w:r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 xml:space="preserve">1664-3224. </w:t>
      </w:r>
      <w:hyperlink r:id="rId8" w:history="1">
        <w:r w:rsidRPr="00867DBF">
          <w:rPr>
            <w:rStyle w:val="Hyperlink"/>
            <w:rFonts w:ascii="Arial" w:hAnsi="Arial" w:cs="Arial"/>
            <w:bCs/>
            <w:sz w:val="18"/>
            <w:szCs w:val="18"/>
            <w:shd w:val="clear" w:color="auto" w:fill="FFFFFF"/>
          </w:rPr>
          <w:t>https://doi.org/10.3389/fimmu.2014.00393</w:t>
        </w:r>
      </w:hyperlink>
    </w:p>
    <w:p w:rsidR="00CA2F69" w:rsidRPr="00867DBF" w:rsidRDefault="00D21169" w:rsidP="00CA2F69">
      <w:pPr>
        <w:spacing w:after="0" w:line="240" w:lineRule="auto"/>
        <w:jc w:val="both"/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</w:pPr>
      <w:r w:rsidRPr="00867DB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 xml:space="preserve">[4] </w:t>
      </w:r>
      <w:proofErr w:type="spellStart"/>
      <w:r w:rsidR="00CA2F69"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>Pesheva</w:t>
      </w:r>
      <w:proofErr w:type="spellEnd"/>
      <w:r w:rsidR="00CA2F69"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 xml:space="preserve">, E. (2013, July 24). Johns Hopkins researchers reveal genetic glitch at the root of allergies. </w:t>
      </w:r>
      <w:r w:rsidR="00CA2F69" w:rsidRPr="00867DBF">
        <w:rPr>
          <w:rStyle w:val="Hyperlink"/>
          <w:rFonts w:ascii="Arial" w:hAnsi="Arial" w:cs="Arial"/>
          <w:bCs/>
          <w:i/>
          <w:color w:val="auto"/>
          <w:sz w:val="18"/>
          <w:szCs w:val="18"/>
          <w:u w:val="none"/>
          <w:shd w:val="clear" w:color="auto" w:fill="FFFFFF"/>
        </w:rPr>
        <w:t xml:space="preserve">Johns Hopkins Medicine. </w:t>
      </w:r>
    </w:p>
    <w:p w:rsidR="00D21169" w:rsidRPr="00867DBF" w:rsidRDefault="00D21169" w:rsidP="00D21169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</w:pPr>
      <w:r w:rsidRPr="00867DB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 xml:space="preserve">[5] </w:t>
      </w:r>
      <w:r w:rsidR="00CA2F69"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 xml:space="preserve">Losartan and Neutropenia – from FDA reports. </w:t>
      </w:r>
      <w:hyperlink r:id="rId9" w:history="1">
        <w:r w:rsidR="00CA2F69" w:rsidRPr="00867DBF">
          <w:rPr>
            <w:rStyle w:val="Hyperlink"/>
            <w:rFonts w:ascii="Arial" w:hAnsi="Arial" w:cs="Arial"/>
            <w:bCs/>
            <w:sz w:val="18"/>
            <w:szCs w:val="18"/>
            <w:shd w:val="clear" w:color="auto" w:fill="FFFFFF"/>
          </w:rPr>
          <w:t>http://www.ehealthme.com/ds/losartan/neutropenia/</w:t>
        </w:r>
      </w:hyperlink>
      <w:r w:rsidR="00CA2F69" w:rsidRPr="00867DBF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  <w:t xml:space="preserve"> accessed 3/16/17.</w:t>
      </w:r>
    </w:p>
    <w:p w:rsidR="008C3F12" w:rsidRDefault="008C3F12" w:rsidP="008C3F12"/>
    <w:p w:rsidR="008C3F12" w:rsidRPr="006923E6" w:rsidRDefault="008C3F12" w:rsidP="00CD02A5"/>
    <w:sectPr w:rsidR="008C3F12" w:rsidRPr="006923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94" w:rsidRDefault="00D87B94" w:rsidP="00632C08">
      <w:pPr>
        <w:spacing w:after="0" w:line="240" w:lineRule="auto"/>
      </w:pPr>
      <w:r>
        <w:separator/>
      </w:r>
    </w:p>
  </w:endnote>
  <w:endnote w:type="continuationSeparator" w:id="0">
    <w:p w:rsidR="00D87B94" w:rsidRDefault="00D87B94" w:rsidP="0063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94" w:rsidRDefault="00D87B94" w:rsidP="00632C08">
      <w:pPr>
        <w:spacing w:after="0" w:line="240" w:lineRule="auto"/>
      </w:pPr>
      <w:r>
        <w:separator/>
      </w:r>
    </w:p>
  </w:footnote>
  <w:footnote w:type="continuationSeparator" w:id="0">
    <w:p w:rsidR="00D87B94" w:rsidRDefault="00D87B94" w:rsidP="0063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08" w:rsidRPr="00632C08" w:rsidRDefault="00632C08">
    <w:pPr>
      <w:pStyle w:val="Header"/>
      <w:rPr>
        <w:rFonts w:ascii="Arial" w:hAnsi="Arial" w:cs="Arial"/>
        <w:sz w:val="20"/>
      </w:rPr>
    </w:pPr>
    <w:r w:rsidRPr="00632C08">
      <w:rPr>
        <w:rFonts w:ascii="Arial" w:hAnsi="Arial" w:cs="Arial"/>
        <w:sz w:val="20"/>
      </w:rPr>
      <w:t>Cayla Guerra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46"/>
    <w:rsid w:val="00053381"/>
    <w:rsid w:val="00122D5F"/>
    <w:rsid w:val="00212F74"/>
    <w:rsid w:val="002950CB"/>
    <w:rsid w:val="003B6C37"/>
    <w:rsid w:val="00482B2F"/>
    <w:rsid w:val="00632C08"/>
    <w:rsid w:val="006570F7"/>
    <w:rsid w:val="006923E6"/>
    <w:rsid w:val="006D2146"/>
    <w:rsid w:val="007010DB"/>
    <w:rsid w:val="007B11FB"/>
    <w:rsid w:val="00867DBF"/>
    <w:rsid w:val="008C3F12"/>
    <w:rsid w:val="008D2BA8"/>
    <w:rsid w:val="009A08AE"/>
    <w:rsid w:val="009D5072"/>
    <w:rsid w:val="00B8080E"/>
    <w:rsid w:val="00CA2F69"/>
    <w:rsid w:val="00CD02A5"/>
    <w:rsid w:val="00D21169"/>
    <w:rsid w:val="00D87B94"/>
    <w:rsid w:val="00D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D0C2D-2468-4D70-9F7A-A4DF5749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08"/>
  </w:style>
  <w:style w:type="paragraph" w:styleId="Footer">
    <w:name w:val="footer"/>
    <w:basedOn w:val="Normal"/>
    <w:link w:val="FooterChar"/>
    <w:uiPriority w:val="99"/>
    <w:unhideWhenUsed/>
    <w:rsid w:val="0063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C08"/>
  </w:style>
  <w:style w:type="character" w:styleId="Strong">
    <w:name w:val="Strong"/>
    <w:basedOn w:val="DefaultParagraphFont"/>
    <w:uiPriority w:val="22"/>
    <w:qFormat/>
    <w:rsid w:val="008C3F12"/>
    <w:rPr>
      <w:b/>
      <w:bCs/>
    </w:rPr>
  </w:style>
  <w:style w:type="character" w:styleId="Emphasis">
    <w:name w:val="Emphasis"/>
    <w:basedOn w:val="DefaultParagraphFont"/>
    <w:uiPriority w:val="20"/>
    <w:qFormat/>
    <w:rsid w:val="008C3F12"/>
    <w:rPr>
      <w:i/>
      <w:iCs/>
    </w:rPr>
  </w:style>
  <w:style w:type="character" w:customStyle="1" w:styleId="apple-converted-space">
    <w:name w:val="apple-converted-space"/>
    <w:basedOn w:val="DefaultParagraphFont"/>
    <w:rsid w:val="008C3F12"/>
  </w:style>
  <w:style w:type="character" w:styleId="Hyperlink">
    <w:name w:val="Hyperlink"/>
    <w:basedOn w:val="DefaultParagraphFont"/>
    <w:uiPriority w:val="99"/>
    <w:unhideWhenUsed/>
    <w:rsid w:val="008C3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immu.2014.003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library.wiley.com/doi/10.1111/j.1600-065X.2007.00565.x/abstract;jsessionid=1C24368F5F0AC35DC6AB718CF9021265.f02t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llergy.org/DOIx.php?id=10.5415/apallergy.2011.1.3.1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healthme.com/ds/losartan/neutrop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Guerra</dc:creator>
  <cp:keywords/>
  <dc:description/>
  <cp:lastModifiedBy>Cayla Guerra</cp:lastModifiedBy>
  <cp:revision>21</cp:revision>
  <dcterms:created xsi:type="dcterms:W3CDTF">2017-03-16T22:11:00Z</dcterms:created>
  <dcterms:modified xsi:type="dcterms:W3CDTF">2017-03-16T23:17:00Z</dcterms:modified>
</cp:coreProperties>
</file>